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embeddings/Microsoft_Excel_Worksheet.xlsx" ContentType="application/vnd.openxmlformats-officedocument.spreadsheetml.sheet"/>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szCs w:val="24"/>
          <w:u w:val="single"/>
        </w:rPr>
      </w:pPr>
      <w:r>
        <w:rPr>
          <w:b/>
          <w:sz w:val="24"/>
          <w:szCs w:val="24"/>
          <w:u w:val="single"/>
        </w:rPr>
        <w:t>Financieel Jaarverslag 2024 stichting Kledingbank Winterswijk e.o</w:t>
      </w:r>
    </w:p>
    <w:p>
      <w:pPr>
        <w:pStyle w:val="Normal"/>
        <w:rPr>
          <w:sz w:val="24"/>
          <w:szCs w:val="24"/>
        </w:rPr>
      </w:pPr>
      <w:r>
        <w:rPr>
          <w:sz w:val="24"/>
          <w:szCs w:val="24"/>
        </w:rPr>
        <w:t>2024 was alweer het elfde jaar sinds de oprichting van de kledingbank in 2013</w:t>
      </w:r>
    </w:p>
    <w:p>
      <w:pPr>
        <w:pStyle w:val="Normal"/>
        <w:rPr>
          <w:sz w:val="24"/>
          <w:szCs w:val="24"/>
        </w:rPr>
      </w:pPr>
      <w:r>
        <w:rPr>
          <w:sz w:val="24"/>
          <w:szCs w:val="24"/>
        </w:rPr>
        <w:t xml:space="preserve">2024 was ook een jaar waarin we weer veel mensen hebben kunnen helpen. </w:t>
      </w:r>
      <w:r>
        <w:rPr>
          <w:bCs/>
          <w:sz w:val="24"/>
          <w:szCs w:val="24"/>
        </w:rPr>
        <w:t xml:space="preserve">Hierdoor hebben we ook meer uitgaven t.a.v. de inkoop kleding, helaas was dit ook het laatste jaar dat wij een vergoeding kregen voor niet courante kleding.                                                     </w:t>
      </w:r>
      <w:r>
        <w:rPr>
          <w:sz w:val="24"/>
          <w:szCs w:val="24"/>
        </w:rPr>
        <w:t xml:space="preserve">Mede door de opruimingsmarkt die we voor het tweede jaar op rij hebben georganiseerd hebben we extra inkomsten gegenereerd.                                                                                       Dit is terug te zien in de financiële resultaten zowel aan de opbrengt als aan de kosten kant. Het saldo van inkomsten en uitgaven viel negatief uit met: €726,67. </w:t>
      </w:r>
    </w:p>
    <w:p>
      <w:pPr>
        <w:pStyle w:val="Normal"/>
        <w:rPr>
          <w:sz w:val="24"/>
          <w:szCs w:val="24"/>
        </w:rPr>
      </w:pPr>
      <w:r>
        <w:rPr>
          <w:sz w:val="24"/>
          <w:szCs w:val="24"/>
        </w:rPr>
        <w:t>De</w:t>
      </w:r>
      <w:r>
        <w:rPr>
          <w:color w:val="831100"/>
          <w:sz w:val="24"/>
          <w:szCs w:val="24"/>
        </w:rPr>
        <w:t xml:space="preserve"> </w:t>
      </w:r>
      <w:r>
        <w:rPr>
          <w:sz w:val="24"/>
          <w:szCs w:val="24"/>
        </w:rPr>
        <w:t xml:space="preserve">verschillende donaties ontvangen In 2024 komen van diverse kerkgenootschappen en particuliere giften. Daarnaast deden we weer mee aan de actie “hart voor de Achterhoek” van de Rabobank. De door ons georganiseerde opruimingsmarkt was een succes en heeft ruim €1700,00 opgeleverd. De gemeente Winterswijk subsidieerde met een bedrag van €5000,00 in 2024. </w:t>
      </w:r>
    </w:p>
    <w:p>
      <w:pPr>
        <w:pStyle w:val="Normal"/>
        <w:rPr>
          <w:sz w:val="24"/>
          <w:szCs w:val="24"/>
        </w:rPr>
      </w:pPr>
      <w:r>
        <w:rPr>
          <w:sz w:val="24"/>
          <w:szCs w:val="24"/>
        </w:rPr>
        <w:t>In 2024 is er een aanvraag voor projectsubsidie uitgegaan bij de gemeentes Berkelland, Oost-Gelre en Aalten. Enkel de gemeente Oost-Gelre heeft hieraan gehoor gegeven door een subsidie van €600,00 toe te kennen voor 2024. In 2025 zullen wij opnieuw subsidies gaan aanvragen bij de omliggende gemeentes</w:t>
      </w:r>
    </w:p>
    <w:p>
      <w:pPr>
        <w:pStyle w:val="Normal"/>
        <w:rPr>
          <w:sz w:val="24"/>
          <w:szCs w:val="24"/>
        </w:rPr>
      </w:pPr>
      <w:r>
        <w:rPr>
          <w:sz w:val="24"/>
          <w:szCs w:val="24"/>
        </w:rPr>
        <w:t>Onderstaande grafiek geeft de percentages van inkomsten aan.</w:t>
      </w:r>
    </w:p>
    <w:p>
      <w:pPr>
        <w:pStyle w:val="Normal"/>
        <w:rPr/>
      </w:pPr>
      <w:r>
        <w:rPr/>
        <w:drawing>
          <wp:inline distT="0" distB="0" distL="0" distR="0">
            <wp:extent cx="4572000" cy="2743200"/>
            <wp:effectExtent l="0" t="0" r="0" b="0"/>
            <wp:docPr id="1" name="Grafiek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rPr>
          <w:sz w:val="24"/>
          <w:szCs w:val="24"/>
        </w:rPr>
      </w:pPr>
      <w:r>
        <w:rPr>
          <w:sz w:val="24"/>
          <w:szCs w:val="24"/>
        </w:rPr>
        <w:t>In bovenstaande diagram 1 is te zien dat 40% van onze inkomsten gedragen wordt door de subsidie van de gemeente Winterswijk dit is jaarlijks €5000. Vanuit de gemeente Oost-Gelre was dit €600,00 Dit wordt gebruikt voor onze huisvesting kosten. Een groot deel van onze inkomsten bestaat uit donaties en sponsoring, in 2024 is dit €1363,49. dit is verantwoordelijk voor 10% van onze inkomsten. De acties “Hart voor de achterhoek” en een sponsorloop leverde €1443,12 op. Goed voor 10% van de inkomsten. Er is afgelopen jaar veel niet-courante kleding verkocht. Dit leverde €5593,05 op dat gelijk staat aan 40% van de inkomsten</w:t>
      </w:r>
    </w:p>
    <w:p>
      <w:pPr>
        <w:pStyle w:val="Normal"/>
        <w:rPr>
          <w:sz w:val="24"/>
          <w:szCs w:val="24"/>
        </w:rPr>
      </w:pPr>
      <w:bookmarkStart w:id="0" w:name="_GoBack"/>
      <w:r>
        <w:rPr/>
        <w:drawing>
          <wp:inline distT="0" distB="0" distL="0" distR="0">
            <wp:extent cx="4572000" cy="2743200"/>
            <wp:effectExtent l="0" t="0" r="0" b="0"/>
            <wp:docPr id="2" name="Grafiek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bookmarkEnd w:id="0"/>
    </w:p>
    <w:p>
      <w:pPr>
        <w:pStyle w:val="Normal"/>
        <w:rPr>
          <w:sz w:val="24"/>
          <w:szCs w:val="24"/>
        </w:rPr>
      </w:pPr>
      <w:r>
        <w:rPr>
          <w:sz w:val="24"/>
          <w:szCs w:val="24"/>
        </w:rPr>
      </w:r>
    </w:p>
    <w:p>
      <w:pPr>
        <w:pStyle w:val="Normal"/>
        <w:rPr>
          <w:sz w:val="24"/>
          <w:szCs w:val="24"/>
        </w:rPr>
      </w:pPr>
      <w:r>
        <w:rPr>
          <w:sz w:val="24"/>
          <w:szCs w:val="24"/>
        </w:rPr>
        <w:t>We hebben in totaal €7799,30uitgegeven aan de inkoop van nieuwe kleding en schoenen. Het gaat hierbij om ondergoed, sokken en kinderkleding en schoenen in maten waarvan er i.v.m.  slijtage weinig bruikbaars binnenkomt. In 2024 hebben we dit uitgebreid met handdoeken, beddengoed en winterjassen voor heren en kinderen.                           Huisvesting in verantwoordelijk voor 21% van de uitgaven. In totaal is dit €3833,56. Dit ondervangt de gebruiksvergoeding en onderhoud kosten van het pand.                                                                         De algemene, inventaris en kantoorkosten zijn gezamenlijk verantwoordelijk voor 22% van de uitgaven. In totaal is dit €3967,56. Dit werd uitgegeven aan kantine kosten, onze telefoon en er is een begin gemaakt met het digitaliseren van onze administratie. Ook aanpassingen in de winkel en de bankkosten vallen onder deze posten.                                                                                            Omdat de Kledingbank uitsluitend met vrijwilligers werkt vinden we het belangrijk om hen af en toe te verwennen met iets lekkers of een uitje. Hiervoor is in 2024 in totaal € 2865,32 uitgegeven. Goed voor 15% van de uitgave.</w:t>
      </w:r>
    </w:p>
    <w:p>
      <w:pPr>
        <w:pStyle w:val="Normal"/>
        <w:rPr>
          <w:sz w:val="24"/>
          <w:szCs w:val="24"/>
        </w:rPr>
      </w:pPr>
      <w:r>
        <w:rPr>
          <w:sz w:val="24"/>
          <w:szCs w:val="24"/>
        </w:rPr>
        <w:t xml:space="preserve"> </w:t>
      </w:r>
    </w:p>
    <w:p>
      <w:pPr>
        <w:pStyle w:val="Normal"/>
        <w:rPr>
          <w:sz w:val="24"/>
          <w:szCs w:val="24"/>
        </w:rPr>
      </w:pPr>
      <w:r>
        <w:rPr>
          <w:sz w:val="24"/>
          <w:szCs w:val="24"/>
        </w:rPr>
        <w:t>Dit financiële jaarverslag is gelezen door de kascommissie.                                                           En gezamenlijk met de jaarrekening ter goedkeuring ondertekend.</w:t>
      </w:r>
    </w:p>
    <w:p>
      <w:pPr>
        <w:pStyle w:val="Normal"/>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f2ab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oleObject" Target="../embeddings/oleObject1.bin"/>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lang="nl-NL" sz="1600" strike="noStrike" u="none">
                <a:solidFill>
                  <a:srgbClr val="595959"/>
                </a:solidFill>
                <a:uFillTx/>
                <a:latin typeface="Calibri"/>
              </a:rPr>
              <a:t>inkomsten 2024</a:t>
            </a:r>
          </a:p>
        </c:rich>
      </c:tx>
      <c:overlay val="0"/>
      <c:spPr>
        <a:noFill/>
        <a:ln w="0">
          <a:noFill/>
        </a:ln>
      </c:spPr>
    </c:title>
    <c:autoTitleDeleted val="0"/>
    <c:plotArea>
      <c:pieChart>
        <c:varyColors val="1"/>
        <c:ser>
          <c:idx val="0"/>
          <c:order val="0"/>
          <c:tx>
            <c:strRef>
              <c:f>label 0</c:f>
              <c:strCache>
                <c:ptCount val="1"/>
                <c:pt idx="0">
                  <c:v>Series1</c:v>
                </c:pt>
              </c:strCache>
            </c:strRef>
          </c:tx>
          <c:spPr>
            <a:solidFill>
              <a:srgbClr val="4472c4"/>
            </a:solidFill>
            <a:ln w="0">
              <a:noFill/>
            </a:ln>
          </c:spPr>
          <c:explosion val="0"/>
          <c:dPt>
            <c:idx val="0"/>
            <c:spPr>
              <a:gradFill>
                <a:gsLst>
                  <a:gs pos="0">
                    <a:srgbClr val="6082ca"/>
                  </a:gs>
                  <a:gs pos="50000">
                    <a:srgbClr val="3d6fc9"/>
                  </a:gs>
                  <a:gs pos="100000">
                    <a:srgbClr val="2f61ba"/>
                  </a:gs>
                </a:gsLst>
                <a:lin ang="5400000"/>
              </a:gradFill>
              <a:ln w="0">
                <a:noFill/>
              </a:ln>
            </c:spPr>
          </c:dPt>
          <c:dPt>
            <c:idx val="1"/>
            <c:spPr>
              <a:gradFill>
                <a:gsLst>
                  <a:gs pos="0">
                    <a:srgbClr val="f08c56"/>
                  </a:gs>
                  <a:gs pos="50000">
                    <a:srgbClr val="f57a27"/>
                  </a:gs>
                  <a:gs pos="100000">
                    <a:srgbClr val="e46b19"/>
                  </a:gs>
                </a:gsLst>
                <a:lin ang="5400000"/>
              </a:gradFill>
              <a:ln w="0">
                <a:noFill/>
              </a:ln>
            </c:spPr>
          </c:dPt>
          <c:dPt>
            <c:idx val="2"/>
            <c:spPr>
              <a:gradFill>
                <a:gsLst>
                  <a:gs pos="0">
                    <a:srgbClr val="aeaeae"/>
                  </a:gs>
                  <a:gs pos="50000">
                    <a:srgbClr val="a4a4a4"/>
                  </a:gs>
                  <a:gs pos="100000">
                    <a:srgbClr val="929292"/>
                  </a:gs>
                </a:gsLst>
                <a:lin ang="5400000"/>
              </a:gradFill>
              <a:ln w="0">
                <a:noFill/>
              </a:ln>
            </c:spPr>
          </c:dPt>
          <c:dPt>
            <c:idx val="3"/>
            <c:spPr>
              <a:gradFill>
                <a:gsLst>
                  <a:gs pos="0">
                    <a:srgbClr val="ffc54b"/>
                  </a:gs>
                  <a:gs pos="50000">
                    <a:srgbClr val="ffbf00"/>
                  </a:gs>
                  <a:gs pos="100000">
                    <a:srgbClr val="e2aa00"/>
                  </a:gs>
                </a:gsLst>
                <a:lin ang="5400000"/>
              </a:gradFill>
              <a:ln w="0">
                <a:noFill/>
              </a:ln>
            </c:spPr>
          </c:dPt>
          <c:dPt>
            <c:idx val="4"/>
            <c:spPr>
              <a:gradFill>
                <a:gsLst>
                  <a:gs pos="0">
                    <a:srgbClr val="71a6da"/>
                  </a:gs>
                  <a:gs pos="50000">
                    <a:srgbClr val="549ada"/>
                  </a:gs>
                  <a:gs pos="100000">
                    <a:srgbClr val="448ac9"/>
                  </a:gs>
                </a:gsLst>
                <a:lin ang="5400000"/>
              </a:gradFill>
              <a:ln w="0">
                <a:noFill/>
              </a:ln>
            </c:spPr>
          </c:dPt>
          <c:dLbls>
            <c:numFmt formatCode="\€#,##0.00_);[RED]&quot;(€&quot;#,##0.00\)" sourceLinked="1"/>
            <c:dLbl>
              <c:idx val="0"/>
              <c:numFmt formatCode="\€#,##0.00_);[RED]&quot;(€&quot;#,##0.00\)" sourceLinked="1"/>
              <c:txPr>
                <a:bodyPr wrap="square"/>
                <a:lstStyle/>
                <a:p>
                  <a:pPr>
                    <a:defRPr b="0" sz="900" strike="noStrike" u="none">
                      <a:solidFill>
                        <a:srgbClr val="404040"/>
                      </a:solidFill>
                      <a:uFillTx/>
                      <a:latin typeface="Calibri"/>
                    </a:defRPr>
                  </a:pPr>
                </a:p>
              </c:txPr>
              <c:dLblPos val="inEnd"/>
              <c:showLegendKey val="0"/>
              <c:showVal val="1"/>
              <c:showCatName val="0"/>
              <c:showSerName val="0"/>
              <c:showPercent val="1"/>
              <c:separator>; </c:separator>
            </c:dLbl>
            <c:dLbl>
              <c:idx val="1"/>
              <c:numFmt formatCode="\€#,##0.00_);[RED]&quot;(€&quot;#,##0.00\)" sourceLinked="1"/>
              <c:txPr>
                <a:bodyPr wrap="square"/>
                <a:lstStyle/>
                <a:p>
                  <a:pPr>
                    <a:defRPr b="0" sz="900" strike="noStrike" u="none">
                      <a:solidFill>
                        <a:srgbClr val="404040"/>
                      </a:solidFill>
                      <a:uFillTx/>
                      <a:latin typeface="Calibri"/>
                    </a:defRPr>
                  </a:pPr>
                </a:p>
              </c:txPr>
              <c:dLblPos val="inEnd"/>
              <c:showLegendKey val="0"/>
              <c:showVal val="1"/>
              <c:showCatName val="0"/>
              <c:showSerName val="0"/>
              <c:showPercent val="1"/>
              <c:separator>; </c:separator>
            </c:dLbl>
            <c:dLbl>
              <c:idx val="2"/>
              <c:numFmt formatCode="\€#,##0.00_);[RED]&quot;(€&quot;#,##0.00\)" sourceLinked="1"/>
              <c:txPr>
                <a:bodyPr wrap="square"/>
                <a:lstStyle/>
                <a:p>
                  <a:pPr>
                    <a:defRPr b="0" sz="900" strike="noStrike" u="none">
                      <a:solidFill>
                        <a:srgbClr val="404040"/>
                      </a:solidFill>
                      <a:uFillTx/>
                      <a:latin typeface="Calibri"/>
                    </a:defRPr>
                  </a:pPr>
                </a:p>
              </c:txPr>
              <c:dLblPos val="inEnd"/>
              <c:showLegendKey val="0"/>
              <c:showVal val="1"/>
              <c:showCatName val="0"/>
              <c:showSerName val="0"/>
              <c:showPercent val="1"/>
              <c:separator>; </c:separator>
            </c:dLbl>
            <c:dLbl>
              <c:idx val="3"/>
              <c:numFmt formatCode="\€#,##0.00_);[RED]&quot;(€&quot;#,##0.00\)" sourceLinked="1"/>
              <c:txPr>
                <a:bodyPr wrap="square"/>
                <a:lstStyle/>
                <a:p>
                  <a:pPr>
                    <a:defRPr b="0" sz="900" strike="noStrike" u="none">
                      <a:solidFill>
                        <a:srgbClr val="404040"/>
                      </a:solidFill>
                      <a:uFillTx/>
                      <a:latin typeface="Calibri"/>
                    </a:defRPr>
                  </a:pPr>
                </a:p>
              </c:txPr>
              <c:dLblPos val="inEnd"/>
              <c:showLegendKey val="0"/>
              <c:showVal val="1"/>
              <c:showCatName val="0"/>
              <c:showSerName val="0"/>
              <c:showPercent val="1"/>
              <c:separator>; </c:separator>
            </c:dLbl>
            <c:dLbl>
              <c:idx val="4"/>
              <c:numFmt formatCode="\€#,##0.00_);[RED]&quot;(€&quot;#,##0.00\)" sourceLinked="1"/>
              <c:txPr>
                <a:bodyPr wrap="square"/>
                <a:lstStyle/>
                <a:p>
                  <a:pPr>
                    <a:defRPr b="0" sz="900" strike="noStrike" u="none">
                      <a:solidFill>
                        <a:srgbClr val="404040"/>
                      </a:solidFill>
                      <a:uFillTx/>
                      <a:latin typeface="Calibri"/>
                    </a:defRPr>
                  </a:pPr>
                </a:p>
              </c:txPr>
              <c:dLblPos val="inEnd"/>
              <c:showLegendKey val="0"/>
              <c:showVal val="1"/>
              <c:showCatName val="0"/>
              <c:showSerName val="0"/>
              <c:showPercent val="1"/>
              <c:separator>; </c:separator>
            </c:dLbl>
            <c:txPr>
              <a:bodyPr wrap="square"/>
              <a:lstStyle/>
              <a:p>
                <a:pPr>
                  <a:defRPr b="0" sz="900" strike="noStrike" u="none">
                    <a:solidFill>
                      <a:srgbClr val="404040"/>
                    </a:solidFill>
                    <a:uFillTx/>
                    <a:latin typeface="Calibri"/>
                  </a:defRPr>
                </a:pPr>
              </a:p>
            </c:txPr>
            <c:dLblPos val="inEnd"/>
            <c:showLegendKey val="0"/>
            <c:showVal val="1"/>
            <c:showCatName val="0"/>
            <c:showSerName val="0"/>
            <c:showPercent val="1"/>
            <c:separator>; </c:separator>
            <c:showLeaderLines val="1"/>
            <c:leaderLines>
              <c:spPr>
                <a:ln>
                  <a:solidFill>
                    <a:srgbClr val="a6a6a6"/>
                  </a:solidFill>
                </a:ln>
              </c:spPr>
            </c:leaderLines>
          </c:dLbls>
          <c:cat>
            <c:strRef>
              <c:f>categories</c:f>
              <c:strCache>
                <c:ptCount val="5"/>
                <c:pt idx="0">
                  <c:v>Subsidie </c:v>
                </c:pt>
                <c:pt idx="1">
                  <c:v>Donaties/ sponsoring</c:v>
                </c:pt>
                <c:pt idx="2">
                  <c:v>Verkoop</c:v>
                </c:pt>
                <c:pt idx="3">
                  <c:v>Acties</c:v>
                </c:pt>
                <c:pt idx="4">
                  <c:v>markt</c:v>
                </c:pt>
              </c:strCache>
            </c:strRef>
          </c:cat>
          <c:val>
            <c:numRef>
              <c:f>0</c:f>
              <c:numCache>
                <c:formatCode>General</c:formatCode>
                <c:ptCount val="5"/>
                <c:pt idx="0">
                  <c:v>5600</c:v>
                </c:pt>
                <c:pt idx="1">
                  <c:v>1363.49</c:v>
                </c:pt>
                <c:pt idx="2">
                  <c:v>3076.8</c:v>
                </c:pt>
                <c:pt idx="3">
                  <c:v>1443.12</c:v>
                </c:pt>
                <c:pt idx="4">
                  <c:v>2516.25</c:v>
                </c:pt>
              </c:numCache>
            </c:numRef>
          </c:val>
        </c:ser>
        <c:firstSliceAng val="0"/>
      </c:pieChart>
      <c:spPr>
        <a:noFill/>
        <a:ln w="0">
          <a:noFill/>
        </a:ln>
      </c:spPr>
    </c:plotArea>
    <c:legend>
      <c:legendPos val="b"/>
      <c:overlay val="0"/>
      <c:spPr>
        <a:noFill/>
        <a:ln w="0">
          <a:noFill/>
        </a:ln>
      </c:spPr>
      <c:txPr>
        <a:bodyPr/>
        <a:lstStyle/>
        <a:p>
          <a:pPr>
            <a:defRPr b="0" sz="900" strike="noStrike" u="none">
              <a:solidFill>
                <a:srgbClr val="595959"/>
              </a:solidFill>
              <a:uFillTx/>
              <a:latin typeface="Calibri"/>
            </a:defRPr>
          </a:pPr>
        </a:p>
      </c:txPr>
    </c:legend>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Series1</c:v>
                </c:pt>
              </c:strCache>
            </c:strRef>
          </c:tx>
          <c:spPr>
            <a:solidFill>
              <a:srgbClr val="4472c4"/>
            </a:solidFill>
            <a:ln w="0">
              <a:noFill/>
            </a:ln>
          </c:spPr>
          <c:explosion val="0"/>
          <c:dPt>
            <c:idx val="0"/>
            <c:spPr>
              <a:solidFill>
                <a:srgbClr val="4472c4"/>
              </a:solidFill>
              <a:ln w="0">
                <a:noFill/>
              </a:ln>
            </c:spPr>
          </c:dPt>
          <c:dPt>
            <c:idx val="1"/>
            <c:spPr>
              <a:solidFill>
                <a:srgbClr val="ed7d31"/>
              </a:solidFill>
              <a:ln w="0">
                <a:noFill/>
              </a:ln>
            </c:spPr>
          </c:dPt>
          <c:dPt>
            <c:idx val="2"/>
            <c:spPr>
              <a:solidFill>
                <a:srgbClr val="a5a5a5"/>
              </a:solidFill>
              <a:ln w="0">
                <a:noFill/>
              </a:ln>
            </c:spPr>
          </c:dPt>
          <c:dPt>
            <c:idx val="3"/>
            <c:spPr>
              <a:solidFill>
                <a:srgbClr val="ffc000"/>
              </a:solidFill>
              <a:ln w="0">
                <a:noFill/>
              </a:ln>
            </c:spPr>
          </c:dPt>
          <c:dPt>
            <c:idx val="4"/>
            <c:spPr>
              <a:solidFill>
                <a:srgbClr val="5b9bd5"/>
              </a:solidFill>
              <a:ln w="0">
                <a:noFill/>
              </a:ln>
            </c:spPr>
          </c:dPt>
          <c:dPt>
            <c:idx val="5"/>
            <c:spPr>
              <a:solidFill>
                <a:srgbClr val="70ad47"/>
              </a:solidFill>
              <a:ln w="0">
                <a:noFill/>
              </a:ln>
            </c:spPr>
          </c:dPt>
          <c:dLbls>
            <c:dLbl>
              <c:idx val="0"/>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1"/>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2"/>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3"/>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4"/>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dLbl>
              <c:idx val="5"/>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dLbl>
            <c:spPr>
              <a:solidFill>
                <a:srgbClr val="595959"/>
              </a:solidFill>
            </c:spPr>
            <c:txPr>
              <a:bodyPr wrap="square"/>
              <a:lstStyle/>
              <a:p>
                <a:pPr>
                  <a:defRPr b="1" sz="1000" strike="noStrike" u="none">
                    <a:solidFill>
                      <a:srgbClr val="ffffff"/>
                    </a:solidFill>
                    <a:uFillTx/>
                    <a:latin typeface="Calibri"/>
                  </a:defRPr>
                </a:pPr>
              </a:p>
            </c:txPr>
            <c:dLblPos val="ctr"/>
            <c:showLegendKey val="0"/>
            <c:showVal val="0"/>
            <c:showCatName val="0"/>
            <c:showSerName val="0"/>
            <c:showPercent val="1"/>
            <c:separator>
</c:separator>
            <c:showLeaderLines val="1"/>
            <c:leaderLines>
              <c:spPr>
                <a:ln>
                  <a:solidFill>
                    <a:srgbClr val="808080"/>
                  </a:solidFill>
                </a:ln>
              </c:spPr>
            </c:leaderLines>
          </c:dLbls>
          <c:cat>
            <c:strRef>
              <c:f>categories</c:f>
              <c:strCache>
                <c:ptCount val="6"/>
                <c:pt idx="0">
                  <c:v>inkoop</c:v>
                </c:pt>
                <c:pt idx="1">
                  <c:v>huisvesting</c:v>
                </c:pt>
                <c:pt idx="2">
                  <c:v>vrijwilligers</c:v>
                </c:pt>
                <c:pt idx="3">
                  <c:v>inventaris</c:v>
                </c:pt>
                <c:pt idx="4">
                  <c:v>kantoor</c:v>
                </c:pt>
                <c:pt idx="5">
                  <c:v>algemeen</c:v>
                </c:pt>
              </c:strCache>
            </c:strRef>
          </c:cat>
          <c:val>
            <c:numRef>
              <c:f>0</c:f>
              <c:numCache>
                <c:formatCode>General</c:formatCode>
                <c:ptCount val="6"/>
                <c:pt idx="0">
                  <c:v>7799.3</c:v>
                </c:pt>
                <c:pt idx="1">
                  <c:v>3833.56</c:v>
                </c:pt>
                <c:pt idx="2">
                  <c:v>2865.32</c:v>
                </c:pt>
                <c:pt idx="3">
                  <c:v>1212.9</c:v>
                </c:pt>
                <c:pt idx="4">
                  <c:v>1271.91</c:v>
                </c:pt>
                <c:pt idx="5">
                  <c:v>1482.74</c:v>
                </c:pt>
              </c:numCache>
            </c:numRef>
          </c:val>
        </c:ser>
        <c:firstSliceAng val="0"/>
      </c:pieChart>
      <c:spPr>
        <a:noFill/>
        <a:ln w="0">
          <a:noFill/>
        </a:ln>
      </c:spPr>
    </c:plotArea>
    <c:legend>
      <c:legendPos val="r"/>
      <c:overlay val="0"/>
      <c:spPr>
        <a:solidFill>
          <a:srgbClr val="f2f2f2">
            <a:alpha val="39000"/>
          </a:srgbClr>
        </a:solidFill>
        <a:ln w="0">
          <a:noFill/>
        </a:ln>
      </c:spPr>
      <c:txPr>
        <a:bodyPr/>
        <a:lstStyle/>
        <a:p>
          <a:pPr>
            <a:defRPr b="0" sz="900" strike="noStrike" u="none">
              <a:solidFill>
                <a:srgbClr val="404040"/>
              </a:solidFill>
              <a:uFillTx/>
              <a:latin typeface="Calibri"/>
            </a:defRPr>
          </a:pPr>
        </a:p>
      </c:txPr>
    </c:legend>
    <c:plotVisOnly val="1"/>
    <c:dispBlanksAs val="gap"/>
  </c:chart>
  <c:spPr>
    <a:gradFill>
      <a:gsLst>
        <a:gs pos="0">
          <a:srgbClr val="ffffff"/>
        </a:gs>
        <a:gs pos="39000">
          <a:srgbClr val="ffffff"/>
        </a:gs>
        <a:gs pos="100000">
          <a:srgbClr val="bfbfbf"/>
        </a:gs>
      </a:gsLst>
      <a:path path="circle">
        <a:fillToRect l="50000" t="0" r="50000" b="100000"/>
      </a:path>
    </a:gradFill>
    <a:ln w="9360">
      <a:solidFill>
        <a:srgbClr val="bfbfbf"/>
      </a:solidFill>
      <a:round/>
    </a:ln>
  </c:spPr>
  <c:externalData r:id="rId1"/>
</c:chartSpace>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LibreOffice/24.8.6.2$Windows_X86_64 LibreOffice_project/6d98ba145e9a8a39fc57bcc76981d1fb1316c60c</Application>
  <AppVersion>15.0000</AppVersion>
  <Pages>2</Pages>
  <Words>490</Words>
  <Characters>2662</Characters>
  <CharactersWithSpaces>3532</CharactersWithSpaces>
  <Paragraphs>12</Paragraphs>
  <Company>Winterswijkse uitdaging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2025-05-16T11:13:00Z</dcterms:created>
  <dc:creator>Evelien Nyenhuis</dc:creator>
  <dc:description/>
  <dc:language>nl-NL</dc:language>
  <cp:lastModifiedBy>Evelien Nyenhuis</cp:lastModifiedBy>
  <dcterms:modified xsi:type="dcterms:W3CDTF">2025-05-16T11:13:00Z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